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1A6969" w:rsidRDefault="00B848E2" w:rsidP="00125010">
            <w:pPr>
              <w:rPr>
                <w:sz w:val="24"/>
                <w:szCs w:val="24"/>
                <w:lang/>
              </w:rPr>
            </w:pPr>
            <w:r>
              <w:rPr>
                <w:sz w:val="24"/>
                <w:szCs w:val="24"/>
              </w:rPr>
              <w:t>1</w:t>
            </w:r>
            <w:r w:rsidR="001A6969">
              <w:rPr>
                <w:sz w:val="24"/>
                <w:szCs w:val="24"/>
                <w:lang/>
              </w:rPr>
              <w:t>9.5.2021.</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Pr="001A6969" w:rsidRDefault="00B848E2" w:rsidP="00C20EB3">
            <w:pPr>
              <w:rPr>
                <w:sz w:val="28"/>
                <w:szCs w:val="28"/>
                <w:lang/>
              </w:rPr>
            </w:pPr>
            <w:r>
              <w:rPr>
                <w:sz w:val="28"/>
                <w:szCs w:val="28"/>
              </w:rPr>
              <w:t>I</w:t>
            </w:r>
            <w:r w:rsidR="001A6969">
              <w:rPr>
                <w:sz w:val="28"/>
                <w:szCs w:val="28"/>
                <w:lang/>
              </w:rPr>
              <w:t>4</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Pr="00B848E2" w:rsidRDefault="00B848E2" w:rsidP="00C20EB3">
            <w:pPr>
              <w:rPr>
                <w:sz w:val="28"/>
                <w:szCs w:val="28"/>
              </w:rPr>
            </w:pPr>
            <w:r>
              <w:rPr>
                <w:sz w:val="28"/>
                <w:szCs w:val="28"/>
              </w:rPr>
              <w:t>Правопис</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B848E2" w:rsidP="00C20EB3">
            <w:pPr>
              <w:tabs>
                <w:tab w:val="left" w:pos="934"/>
              </w:tabs>
              <w:rPr>
                <w:sz w:val="28"/>
                <w:szCs w:val="28"/>
                <w:lang w:val="sr-Cyrl-BA"/>
              </w:rPr>
            </w:pPr>
            <w:r>
              <w:rPr>
                <w:sz w:val="28"/>
                <w:szCs w:val="28"/>
                <w:lang w:val="sr-Cyrl-BA"/>
              </w:rPr>
              <w:t>Правилна употреба ријечце НЕ</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B848E2" w:rsidP="00C20EB3">
            <w:pPr>
              <w:tabs>
                <w:tab w:val="left" w:pos="1164"/>
              </w:tabs>
              <w:rPr>
                <w:sz w:val="28"/>
                <w:szCs w:val="28"/>
                <w:lang w:val="sr-Cyrl-BA"/>
              </w:rPr>
            </w:pPr>
            <w:r>
              <w:rPr>
                <w:sz w:val="28"/>
                <w:szCs w:val="28"/>
                <w:lang w:val="sr-Cyrl-BA"/>
              </w:rPr>
              <w:t xml:space="preserve">Обрада </w:t>
            </w:r>
          </w:p>
        </w:tc>
      </w:tr>
      <w:tr w:rsidR="00912245" w:rsidTr="009E5073">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Borders>
              <w:bottom w:val="single" w:sz="4" w:space="0" w:color="auto"/>
            </w:tcBorders>
          </w:tcPr>
          <w:p w:rsidR="00912245" w:rsidRPr="00B848E2" w:rsidRDefault="00B848E2" w:rsidP="00EA4A1E">
            <w:pPr>
              <w:rPr>
                <w:rFonts w:cstheme="minorHAnsi"/>
                <w:sz w:val="28"/>
                <w:szCs w:val="28"/>
              </w:rPr>
            </w:pPr>
            <w:r>
              <w:rPr>
                <w:rFonts w:cstheme="minorHAnsi"/>
                <w:sz w:val="28"/>
                <w:szCs w:val="28"/>
              </w:rPr>
              <w:t>Усвајање знања о правилној употреби ријечце – НЕ; употреба уз глаголе, именице, придјеве и прилоге;</w:t>
            </w:r>
          </w:p>
        </w:tc>
      </w:tr>
      <w:tr w:rsidR="00912245" w:rsidTr="009E5073">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Borders>
              <w:bottom w:val="single" w:sz="4" w:space="0" w:color="auto"/>
            </w:tcBorders>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9F0FAB" w:rsidRPr="009F0FAB" w:rsidRDefault="009F0FAB" w:rsidP="009F0FAB">
            <w:pPr>
              <w:rPr>
                <w:b/>
                <w:sz w:val="20"/>
                <w:szCs w:val="20"/>
                <w:lang w:val="sr-Cyrl-BA"/>
              </w:rPr>
            </w:pPr>
            <w:r>
              <w:rPr>
                <w:sz w:val="20"/>
                <w:szCs w:val="20"/>
                <w:lang w:val="sr-Cyrl-BA"/>
              </w:rPr>
              <w:t xml:space="preserve">Једна од најчешћих правописних грешака које се најчешће праве је свакако писање ријечце НЕ уз глаголе. Да ли је неко пропустио час из српског језика баш онда када је на том часу обрађивано правило писања ријечце НЕ са глаголима, или је присуствовао том часу али није упамтио правила, не знамо, али је чињеница да гријешимо. Међутим, ајмо једном да затворимо врата незнања када се ради о ријечци НЕ и глаголима. Овај проблем, колико год се о њему писало и говорило, не јењава, како у писменим задацима, тако и на друштвеним мрежама. Зато да упамтимо: </w:t>
            </w:r>
            <w:r>
              <w:rPr>
                <w:b/>
                <w:sz w:val="20"/>
                <w:szCs w:val="20"/>
                <w:lang w:val="sr-Cyrl-BA"/>
              </w:rPr>
              <w:t>о</w:t>
            </w:r>
            <w:r w:rsidRPr="009F0FAB">
              <w:rPr>
                <w:b/>
                <w:sz w:val="20"/>
                <w:szCs w:val="20"/>
                <w:lang w:val="sr-Cyrl-BA"/>
              </w:rPr>
              <w:t xml:space="preserve">сновно правило је да се ријечца НЕ уз глаголске облике пише ОДВОЈЕНО. </w:t>
            </w:r>
          </w:p>
          <w:p w:rsidR="009F0FAB" w:rsidRDefault="005B597B" w:rsidP="002F50DC">
            <w:pPr>
              <w:rPr>
                <w:sz w:val="20"/>
                <w:szCs w:val="20"/>
                <w:lang w:val="sr-Cyrl-BA"/>
              </w:rPr>
            </w:pPr>
            <w:r>
              <w:rPr>
                <w:sz w:val="20"/>
                <w:szCs w:val="20"/>
                <w:lang w:val="sr-Cyrl-BA"/>
              </w:rPr>
              <w:t xml:space="preserve">У овој лекцији присјетићемо се како се пише ријчца НЕ уз глаголе, именице, придјеве и прилоге. </w:t>
            </w:r>
          </w:p>
          <w:p w:rsidR="00D93811" w:rsidRDefault="00D93811" w:rsidP="00125010">
            <w:pPr>
              <w:jc w:val="center"/>
              <w:rPr>
                <w:b/>
                <w:sz w:val="20"/>
                <w:szCs w:val="20"/>
                <w:u w:val="single"/>
                <w:lang w:val="sr-Cyrl-BA"/>
              </w:rPr>
            </w:pPr>
          </w:p>
          <w:p w:rsidR="00912245" w:rsidRPr="002A0880" w:rsidRDefault="00912245" w:rsidP="009F0FAB">
            <w:pPr>
              <w:jc w:val="center"/>
              <w:rPr>
                <w:b/>
                <w:sz w:val="20"/>
                <w:szCs w:val="20"/>
                <w:u w:val="single"/>
                <w:lang w:val="sr-Cyrl-BA"/>
              </w:rPr>
            </w:pPr>
            <w:r w:rsidRPr="002A0880">
              <w:rPr>
                <w:b/>
                <w:sz w:val="20"/>
                <w:szCs w:val="20"/>
                <w:u w:val="single"/>
                <w:lang w:val="sr-Cyrl-BA"/>
              </w:rPr>
              <w:t>ГЛАВНИ ДИО ЧАСА:</w:t>
            </w:r>
          </w:p>
          <w:p w:rsidR="00912245" w:rsidRDefault="009F0FAB" w:rsidP="009F0FAB">
            <w:pPr>
              <w:rPr>
                <w:sz w:val="20"/>
                <w:szCs w:val="20"/>
                <w:lang w:val="sr-Cyrl-BA"/>
              </w:rPr>
            </w:pPr>
            <w:r>
              <w:rPr>
                <w:sz w:val="20"/>
                <w:szCs w:val="20"/>
                <w:lang w:val="sr-Cyrl-BA"/>
              </w:rPr>
              <w:t xml:space="preserve">Ријечца НЕ уз глаголе се пише одвојено, осим глагола </w:t>
            </w:r>
            <w:r w:rsidRPr="009F0FAB">
              <w:rPr>
                <w:b/>
                <w:sz w:val="20"/>
                <w:szCs w:val="20"/>
                <w:lang w:val="sr-Cyrl-BA"/>
              </w:rPr>
              <w:t>НЕЋУ, НЕМАМ, НЕМОЈ, НИСАМ, НЕДОСТАЈАТИ</w:t>
            </w:r>
            <w:r w:rsidR="00CD1591">
              <w:rPr>
                <w:b/>
                <w:sz w:val="20"/>
                <w:szCs w:val="20"/>
                <w:lang w:val="sr-Cyrl-BA"/>
              </w:rPr>
              <w:t>/НЕДОСТАТИ</w:t>
            </w:r>
            <w:r w:rsidRPr="009F0FAB">
              <w:rPr>
                <w:b/>
                <w:sz w:val="20"/>
                <w:szCs w:val="20"/>
                <w:lang w:val="sr-Cyrl-BA"/>
              </w:rPr>
              <w:t xml:space="preserve"> И НЕСТАЈАТИ/НЕСТАТИ. </w:t>
            </w:r>
          </w:p>
          <w:p w:rsidR="0079567A" w:rsidRPr="0079567A" w:rsidRDefault="009F0FAB" w:rsidP="009F0FAB">
            <w:pPr>
              <w:rPr>
                <w:i/>
                <w:sz w:val="20"/>
                <w:szCs w:val="20"/>
                <w:lang w:val="sr-Cyrl-BA"/>
              </w:rPr>
            </w:pPr>
            <w:r>
              <w:rPr>
                <w:sz w:val="20"/>
                <w:szCs w:val="20"/>
                <w:lang w:val="sr-Cyrl-BA"/>
              </w:rPr>
              <w:t xml:space="preserve">Наравно, то подразумијева и све промјене ових глагола: </w:t>
            </w:r>
            <w:r w:rsidRPr="0079567A">
              <w:rPr>
                <w:i/>
                <w:sz w:val="20"/>
                <w:szCs w:val="20"/>
                <w:lang w:val="sr-Cyrl-BA"/>
              </w:rPr>
              <w:t xml:space="preserve">нећу, нећеш, неће, нећемо, нећете, </w:t>
            </w:r>
            <w:r w:rsidR="0079567A" w:rsidRPr="0079567A">
              <w:rPr>
                <w:i/>
                <w:sz w:val="20"/>
                <w:szCs w:val="20"/>
                <w:lang w:val="sr-Cyrl-BA"/>
              </w:rPr>
              <w:t>неће; недостајем, недостајеш, недостаје, недостајемо, недостајете, недостају; нестајем, нестајеш, нестаје, нестајемо, нестајете, нестају;</w:t>
            </w:r>
          </w:p>
          <w:p w:rsidR="0079567A" w:rsidRDefault="0079567A" w:rsidP="009F0FAB">
            <w:pPr>
              <w:rPr>
                <w:sz w:val="20"/>
                <w:szCs w:val="20"/>
                <w:lang w:val="sr-Cyrl-BA"/>
              </w:rPr>
            </w:pPr>
            <w:r>
              <w:rPr>
                <w:sz w:val="20"/>
                <w:szCs w:val="20"/>
                <w:lang w:val="sr-Cyrl-BA"/>
              </w:rPr>
              <w:t>Ови глаголи су негација глагола:</w:t>
            </w:r>
          </w:p>
          <w:p w:rsidR="0079567A" w:rsidRPr="0079567A" w:rsidRDefault="0079567A" w:rsidP="009F0FAB">
            <w:pPr>
              <w:rPr>
                <w:b/>
                <w:sz w:val="20"/>
                <w:szCs w:val="20"/>
                <w:lang w:val="sr-Cyrl-BA"/>
              </w:rPr>
            </w:pPr>
            <w:r w:rsidRPr="0079567A">
              <w:rPr>
                <w:b/>
                <w:sz w:val="20"/>
                <w:szCs w:val="20"/>
                <w:lang w:val="sr-Cyrl-BA"/>
              </w:rPr>
              <w:t xml:space="preserve">Хоћу – нећу; имам – немам, јесам – нисам; </w:t>
            </w:r>
          </w:p>
          <w:p w:rsidR="0079567A" w:rsidRPr="0079567A" w:rsidRDefault="0079567A" w:rsidP="009F0FAB">
            <w:pPr>
              <w:rPr>
                <w:i/>
                <w:sz w:val="20"/>
                <w:szCs w:val="20"/>
                <w:lang w:val="sr-Cyrl-BA"/>
              </w:rPr>
            </w:pPr>
            <w:r w:rsidRPr="0079567A">
              <w:rPr>
                <w:b/>
                <w:sz w:val="20"/>
                <w:szCs w:val="20"/>
                <w:lang w:val="sr-Cyrl-BA"/>
              </w:rPr>
              <w:t>Немој</w:t>
            </w:r>
            <w:r>
              <w:rPr>
                <w:sz w:val="20"/>
                <w:szCs w:val="20"/>
                <w:lang w:val="sr-Cyrl-BA"/>
              </w:rPr>
              <w:t xml:space="preserve"> је императив (заповиједни начин) и упућује се другом лицу да престане вршити неку радњу. Нпр. </w:t>
            </w:r>
            <w:r w:rsidRPr="0079567A">
              <w:rPr>
                <w:i/>
                <w:sz w:val="20"/>
                <w:szCs w:val="20"/>
                <w:lang w:val="sr-Cyrl-BA"/>
              </w:rPr>
              <w:t xml:space="preserve">Немој дирати моје књиге. </w:t>
            </w:r>
          </w:p>
          <w:p w:rsidR="0079567A" w:rsidRPr="0079567A" w:rsidRDefault="0079567A" w:rsidP="009F0FAB">
            <w:pPr>
              <w:rPr>
                <w:i/>
                <w:sz w:val="20"/>
                <w:szCs w:val="20"/>
                <w:lang w:val="sr-Cyrl-BA"/>
              </w:rPr>
            </w:pPr>
            <w:r w:rsidRPr="0079567A">
              <w:rPr>
                <w:b/>
                <w:sz w:val="20"/>
                <w:szCs w:val="20"/>
                <w:lang w:val="sr-Cyrl-BA"/>
              </w:rPr>
              <w:t>Недостајати</w:t>
            </w:r>
            <w:r>
              <w:rPr>
                <w:b/>
                <w:sz w:val="20"/>
                <w:szCs w:val="20"/>
                <w:lang w:val="sr-Cyrl-BA"/>
              </w:rPr>
              <w:t xml:space="preserve"> </w:t>
            </w:r>
            <w:r>
              <w:rPr>
                <w:sz w:val="20"/>
                <w:szCs w:val="20"/>
                <w:lang w:val="sr-Cyrl-BA"/>
              </w:rPr>
              <w:t>је глагол који означава да нечега нема довољно.</w:t>
            </w:r>
            <w:r w:rsidR="00960B58">
              <w:rPr>
                <w:sz w:val="20"/>
                <w:szCs w:val="20"/>
                <w:lang w:val="sr-Cyrl-BA"/>
              </w:rPr>
              <w:t xml:space="preserve"> Овај глагол није одричан (негиран). </w:t>
            </w:r>
            <w:r>
              <w:rPr>
                <w:sz w:val="20"/>
                <w:szCs w:val="20"/>
                <w:lang w:val="sr-Cyrl-BA"/>
              </w:rPr>
              <w:t xml:space="preserve"> Нпр. </w:t>
            </w:r>
            <w:r w:rsidRPr="0079567A">
              <w:rPr>
                <w:i/>
                <w:sz w:val="20"/>
                <w:szCs w:val="20"/>
                <w:lang w:val="sr-Cyrl-BA"/>
              </w:rPr>
              <w:t xml:space="preserve">Недостаје ми 100 марака. </w:t>
            </w:r>
          </w:p>
          <w:p w:rsidR="0079567A" w:rsidRDefault="0079567A" w:rsidP="009F0FAB">
            <w:pPr>
              <w:rPr>
                <w:sz w:val="20"/>
                <w:szCs w:val="20"/>
                <w:lang w:val="sr-Cyrl-BA"/>
              </w:rPr>
            </w:pPr>
            <w:r>
              <w:rPr>
                <w:sz w:val="20"/>
                <w:szCs w:val="20"/>
                <w:lang w:val="sr-Cyrl-BA"/>
              </w:rPr>
              <w:t xml:space="preserve">Глаголи </w:t>
            </w:r>
            <w:r w:rsidRPr="0079567A">
              <w:rPr>
                <w:b/>
                <w:sz w:val="20"/>
                <w:szCs w:val="20"/>
                <w:lang w:val="sr-Cyrl-BA"/>
              </w:rPr>
              <w:t xml:space="preserve">нестајати </w:t>
            </w:r>
            <w:r>
              <w:rPr>
                <w:sz w:val="20"/>
                <w:szCs w:val="20"/>
                <w:lang w:val="sr-Cyrl-BA"/>
              </w:rPr>
              <w:t xml:space="preserve">и </w:t>
            </w:r>
            <w:r>
              <w:rPr>
                <w:b/>
                <w:sz w:val="20"/>
                <w:szCs w:val="20"/>
                <w:lang w:val="sr-Cyrl-BA"/>
              </w:rPr>
              <w:t xml:space="preserve">нестати </w:t>
            </w:r>
            <w:r w:rsidRPr="0079567A">
              <w:rPr>
                <w:sz w:val="20"/>
                <w:szCs w:val="20"/>
                <w:lang w:val="sr-Cyrl-BA"/>
              </w:rPr>
              <w:t xml:space="preserve">немају никакве везе са глаголима </w:t>
            </w:r>
            <w:r w:rsidRPr="0079567A">
              <w:rPr>
                <w:b/>
                <w:sz w:val="20"/>
                <w:szCs w:val="20"/>
                <w:lang w:val="sr-Cyrl-BA"/>
              </w:rPr>
              <w:t>стајати и стати.</w:t>
            </w:r>
            <w:r w:rsidRPr="0079567A">
              <w:rPr>
                <w:sz w:val="20"/>
                <w:szCs w:val="20"/>
                <w:lang w:val="sr-Cyrl-BA"/>
              </w:rPr>
              <w:t xml:space="preserve"> </w:t>
            </w:r>
            <w:r w:rsidR="00960B58">
              <w:rPr>
                <w:sz w:val="20"/>
                <w:szCs w:val="20"/>
                <w:lang w:val="sr-Cyrl-BA"/>
              </w:rPr>
              <w:t>Дакле ни овај глагол није одричан (негиран).</w:t>
            </w:r>
          </w:p>
          <w:p w:rsidR="0079567A" w:rsidRPr="00960B58" w:rsidRDefault="0079567A" w:rsidP="009F0FAB">
            <w:pPr>
              <w:rPr>
                <w:i/>
                <w:sz w:val="20"/>
                <w:szCs w:val="20"/>
                <w:lang w:val="sr-Cyrl-BA"/>
              </w:rPr>
            </w:pPr>
            <w:r>
              <w:rPr>
                <w:sz w:val="20"/>
                <w:szCs w:val="20"/>
                <w:lang w:val="sr-Cyrl-BA"/>
              </w:rPr>
              <w:t>Нпр</w:t>
            </w:r>
            <w:r w:rsidRPr="00960B58">
              <w:rPr>
                <w:i/>
                <w:sz w:val="20"/>
                <w:szCs w:val="20"/>
                <w:lang w:val="sr-Cyrl-BA"/>
              </w:rPr>
              <w:t>. Неста пара, неста пријатеља; Не стај ми на цвијеће</w:t>
            </w:r>
            <w:r w:rsidR="00960B58">
              <w:rPr>
                <w:i/>
                <w:sz w:val="20"/>
                <w:szCs w:val="20"/>
                <w:lang w:val="sr-Cyrl-BA"/>
              </w:rPr>
              <w:t xml:space="preserve"> (глагол стајати)</w:t>
            </w:r>
            <w:r w:rsidRPr="00960B58">
              <w:rPr>
                <w:i/>
                <w:sz w:val="20"/>
                <w:szCs w:val="20"/>
                <w:lang w:val="sr-Cyrl-BA"/>
              </w:rPr>
              <w:t>;</w:t>
            </w:r>
          </w:p>
          <w:p w:rsidR="00960B58" w:rsidRDefault="00960B58" w:rsidP="00960B58">
            <w:pPr>
              <w:rPr>
                <w:sz w:val="20"/>
                <w:szCs w:val="20"/>
                <w:lang w:val="sr-Cyrl-BA"/>
              </w:rPr>
            </w:pPr>
            <w:r>
              <w:rPr>
                <w:sz w:val="20"/>
                <w:szCs w:val="20"/>
                <w:lang w:val="sr-Cyrl-BA"/>
              </w:rPr>
              <w:t xml:space="preserve">Према томе, треба запамтити ове изузетке и уз остале глаголе ријечцу НЕ пишемо ОДВОЈЕНО. Иначе, погрешно писање ријечце НЕ узроковано је реченичним акцентом јер изговарамо као једну ријеч: </w:t>
            </w:r>
          </w:p>
          <w:p w:rsidR="00912245" w:rsidRDefault="00960B58" w:rsidP="00960B58">
            <w:pPr>
              <w:rPr>
                <w:i/>
                <w:sz w:val="20"/>
                <w:szCs w:val="20"/>
                <w:lang w:val="sr-Cyrl-BA"/>
              </w:rPr>
            </w:pPr>
            <w:r w:rsidRPr="00960B58">
              <w:rPr>
                <w:i/>
                <w:sz w:val="20"/>
                <w:szCs w:val="20"/>
                <w:lang w:val="sr-Cyrl-BA"/>
              </w:rPr>
              <w:t>Незнам што нећеш самном</w:t>
            </w:r>
            <w:r>
              <w:rPr>
                <w:i/>
                <w:sz w:val="20"/>
                <w:szCs w:val="20"/>
                <w:lang w:val="sr-Cyrl-BA"/>
              </w:rPr>
              <w:t xml:space="preserve"> .</w:t>
            </w:r>
          </w:p>
          <w:p w:rsidR="00960B58" w:rsidRDefault="00960B58" w:rsidP="00960B58">
            <w:pPr>
              <w:rPr>
                <w:sz w:val="20"/>
                <w:szCs w:val="20"/>
                <w:lang w:val="sr-Cyrl-BA"/>
              </w:rPr>
            </w:pPr>
            <w:r>
              <w:rPr>
                <w:sz w:val="20"/>
                <w:szCs w:val="20"/>
                <w:lang w:val="sr-Cyrl-BA"/>
              </w:rPr>
              <w:t>Одмах да исправимо грешке, а имамо двије, јер изговарамо заједно.</w:t>
            </w:r>
          </w:p>
          <w:p w:rsidR="00960B58" w:rsidRDefault="00960B58" w:rsidP="00960B58">
            <w:pPr>
              <w:rPr>
                <w:b/>
                <w:i/>
                <w:sz w:val="20"/>
                <w:szCs w:val="20"/>
                <w:lang w:val="sr-Cyrl-BA"/>
              </w:rPr>
            </w:pPr>
            <w:r w:rsidRPr="00960B58">
              <w:rPr>
                <w:b/>
                <w:i/>
                <w:sz w:val="20"/>
                <w:szCs w:val="20"/>
                <w:lang w:val="sr-Cyrl-BA"/>
              </w:rPr>
              <w:t>Не знам што нећеш са мном.</w:t>
            </w:r>
          </w:p>
          <w:p w:rsidR="00A43DD1" w:rsidRDefault="00CD1591" w:rsidP="00960B58">
            <w:pPr>
              <w:rPr>
                <w:i/>
                <w:sz w:val="20"/>
                <w:szCs w:val="20"/>
                <w:lang w:val="sr-Cyrl-BA"/>
              </w:rPr>
            </w:pPr>
            <w:r w:rsidRPr="00284048">
              <w:rPr>
                <w:b/>
                <w:sz w:val="20"/>
                <w:szCs w:val="20"/>
                <w:lang w:val="sr-Cyrl-BA"/>
              </w:rPr>
              <w:lastRenderedPageBreak/>
              <w:t>Глаголски прилог садашњи</w:t>
            </w:r>
            <w:r>
              <w:rPr>
                <w:sz w:val="20"/>
                <w:szCs w:val="20"/>
                <w:lang w:val="sr-Cyrl-BA"/>
              </w:rPr>
              <w:t xml:space="preserve"> - пјевајући, гледајући, учећи, забављајући се, причајући, видимо да завршавају сви на наставак –ЋИ. Добија се тако што на 3.л. множ.презента додамо наставак – ЋИ. Глаголски прилог садашњи је глаголски облик па, такође, и уз њега ријечца не се пише одвојено. Нрп. </w:t>
            </w:r>
            <w:r w:rsidRPr="00CD1591">
              <w:rPr>
                <w:i/>
                <w:sz w:val="20"/>
                <w:szCs w:val="20"/>
                <w:lang w:val="sr-Cyrl-BA"/>
              </w:rPr>
              <w:t xml:space="preserve">не обраћајући пажњу...; не сумњајући у мене...;не познајући никога...; </w:t>
            </w:r>
          </w:p>
          <w:p w:rsidR="00CD1591" w:rsidRPr="00284048" w:rsidRDefault="00CD1591" w:rsidP="00960B58">
            <w:pPr>
              <w:rPr>
                <w:i/>
                <w:sz w:val="20"/>
                <w:szCs w:val="20"/>
                <w:lang w:val="sr-Cyrl-BA"/>
              </w:rPr>
            </w:pPr>
            <w:r>
              <w:rPr>
                <w:sz w:val="20"/>
                <w:szCs w:val="20"/>
                <w:lang w:val="sr-Cyrl-BA"/>
              </w:rPr>
              <w:t>Међутим, глаголски прилог садашњи може постати придјев – попридјевљавање глаголских облика. Па тако имамо</w:t>
            </w:r>
            <w:r w:rsidR="008F22FA">
              <w:rPr>
                <w:sz w:val="20"/>
                <w:szCs w:val="20"/>
                <w:lang w:val="sr-Cyrl-BA"/>
              </w:rPr>
              <w:t xml:space="preserve"> </w:t>
            </w:r>
            <w:r w:rsidR="008F22FA" w:rsidRPr="00284048">
              <w:rPr>
                <w:i/>
                <w:sz w:val="20"/>
                <w:szCs w:val="20"/>
                <w:lang w:val="sr-Cyrl-BA"/>
              </w:rPr>
              <w:t>непостојећи, неодговарајући, неважећи.</w:t>
            </w:r>
          </w:p>
          <w:p w:rsidR="008F22FA" w:rsidRPr="008F22FA" w:rsidRDefault="008F22FA" w:rsidP="00960B58">
            <w:pPr>
              <w:rPr>
                <w:i/>
                <w:sz w:val="20"/>
                <w:szCs w:val="20"/>
                <w:lang w:val="sr-Cyrl-BA"/>
              </w:rPr>
            </w:pPr>
            <w:r>
              <w:rPr>
                <w:sz w:val="20"/>
                <w:szCs w:val="20"/>
                <w:lang w:val="sr-Cyrl-BA"/>
              </w:rPr>
              <w:t xml:space="preserve">Пр. </w:t>
            </w:r>
            <w:r w:rsidRPr="008F22FA">
              <w:rPr>
                <w:i/>
                <w:sz w:val="20"/>
                <w:szCs w:val="20"/>
                <w:lang w:val="sr-Cyrl-BA"/>
              </w:rPr>
              <w:t xml:space="preserve">Користиш </w:t>
            </w:r>
            <w:r w:rsidRPr="008F22FA">
              <w:rPr>
                <w:i/>
                <w:sz w:val="20"/>
                <w:szCs w:val="20"/>
                <w:u w:val="single"/>
                <w:lang w:val="sr-Cyrl-BA"/>
              </w:rPr>
              <w:t xml:space="preserve">непостојећи </w:t>
            </w:r>
            <w:r w:rsidRPr="008F22FA">
              <w:rPr>
                <w:i/>
                <w:sz w:val="20"/>
                <w:szCs w:val="20"/>
                <w:lang w:val="sr-Cyrl-BA"/>
              </w:rPr>
              <w:t xml:space="preserve">програм. </w:t>
            </w:r>
          </w:p>
          <w:p w:rsidR="00A43DD1" w:rsidRPr="008F22FA" w:rsidRDefault="008F22FA" w:rsidP="00960B58">
            <w:pPr>
              <w:rPr>
                <w:i/>
                <w:sz w:val="20"/>
                <w:szCs w:val="20"/>
                <w:lang w:val="sr-Cyrl-BA"/>
              </w:rPr>
            </w:pPr>
            <w:r w:rsidRPr="008F22FA">
              <w:rPr>
                <w:i/>
                <w:sz w:val="20"/>
                <w:szCs w:val="20"/>
                <w:lang w:val="sr-Cyrl-BA"/>
              </w:rPr>
              <w:t xml:space="preserve">       Узео си </w:t>
            </w:r>
            <w:r w:rsidRPr="008F22FA">
              <w:rPr>
                <w:i/>
                <w:sz w:val="20"/>
                <w:szCs w:val="20"/>
                <w:u w:val="single"/>
                <w:lang w:val="sr-Cyrl-BA"/>
              </w:rPr>
              <w:t>неодговарајући</w:t>
            </w:r>
            <w:r w:rsidRPr="008F22FA">
              <w:rPr>
                <w:i/>
                <w:sz w:val="20"/>
                <w:szCs w:val="20"/>
                <w:lang w:val="sr-Cyrl-BA"/>
              </w:rPr>
              <w:t xml:space="preserve"> третман. </w:t>
            </w:r>
          </w:p>
          <w:p w:rsidR="008F22FA" w:rsidRDefault="008F22FA" w:rsidP="00960B58">
            <w:pPr>
              <w:rPr>
                <w:i/>
                <w:sz w:val="20"/>
                <w:szCs w:val="20"/>
                <w:lang w:val="sr-Cyrl-BA"/>
              </w:rPr>
            </w:pPr>
            <w:r w:rsidRPr="008F22FA">
              <w:rPr>
                <w:i/>
                <w:sz w:val="20"/>
                <w:szCs w:val="20"/>
                <w:lang w:val="sr-Cyrl-BA"/>
              </w:rPr>
              <w:t xml:space="preserve">       Добио си </w:t>
            </w:r>
            <w:r w:rsidRPr="008F22FA">
              <w:rPr>
                <w:i/>
                <w:sz w:val="20"/>
                <w:szCs w:val="20"/>
                <w:u w:val="single"/>
                <w:lang w:val="sr-Cyrl-BA"/>
              </w:rPr>
              <w:t>неважећи</w:t>
            </w:r>
            <w:r w:rsidRPr="008F22FA">
              <w:rPr>
                <w:i/>
                <w:sz w:val="20"/>
                <w:szCs w:val="20"/>
                <w:lang w:val="sr-Cyrl-BA"/>
              </w:rPr>
              <w:t xml:space="preserve"> листић. </w:t>
            </w:r>
          </w:p>
          <w:p w:rsidR="008F22FA" w:rsidRDefault="008F22FA" w:rsidP="00960B58">
            <w:pPr>
              <w:rPr>
                <w:sz w:val="20"/>
                <w:szCs w:val="20"/>
                <w:lang w:val="sr-Cyrl-BA"/>
              </w:rPr>
            </w:pPr>
            <w:r>
              <w:rPr>
                <w:sz w:val="20"/>
                <w:szCs w:val="20"/>
                <w:lang w:val="sr-Cyrl-BA"/>
              </w:rPr>
              <w:t xml:space="preserve">Видимо у овим примјерима да ови гл.пр.садашњи сада има придјевску функцију. </w:t>
            </w:r>
          </w:p>
          <w:p w:rsidR="008F22FA" w:rsidRDefault="008F22FA" w:rsidP="00960B58">
            <w:pPr>
              <w:rPr>
                <w:i/>
                <w:sz w:val="20"/>
                <w:szCs w:val="20"/>
                <w:lang w:val="sr-Cyrl-BA"/>
              </w:rPr>
            </w:pPr>
            <w:r w:rsidRPr="00284048">
              <w:rPr>
                <w:b/>
                <w:sz w:val="20"/>
                <w:szCs w:val="20"/>
                <w:lang w:val="sr-Cyrl-BA"/>
              </w:rPr>
              <w:t>Глаголски придјев трпни</w:t>
            </w:r>
            <w:r>
              <w:rPr>
                <w:sz w:val="20"/>
                <w:szCs w:val="20"/>
                <w:lang w:val="sr-Cyrl-BA"/>
              </w:rPr>
              <w:t xml:space="preserve"> – уписан, читан, успаван, ношен, прочитан, послат/послан; имају наставак –Н/-Т. Глаголски придјев трпни је глаголски облик па, такође, и уз њега ријечца не се пише одвојено. Нпр. </w:t>
            </w:r>
            <w:r w:rsidR="00284048" w:rsidRPr="00284048">
              <w:rPr>
                <w:i/>
                <w:sz w:val="20"/>
                <w:szCs w:val="20"/>
                <w:lang w:val="sr-Cyrl-BA"/>
              </w:rPr>
              <w:t>Не уписан него исписан...;</w:t>
            </w:r>
          </w:p>
          <w:p w:rsidR="00284048" w:rsidRDefault="00284048" w:rsidP="00960B58">
            <w:pPr>
              <w:rPr>
                <w:i/>
                <w:sz w:val="20"/>
                <w:szCs w:val="20"/>
                <w:lang w:val="sr-Cyrl-BA"/>
              </w:rPr>
            </w:pPr>
            <w:r>
              <w:rPr>
                <w:sz w:val="20"/>
                <w:szCs w:val="20"/>
                <w:lang w:val="sr-Cyrl-BA"/>
              </w:rPr>
              <w:t xml:space="preserve">Али и овај гл. придјев може имати функцију придјева па се у том случају ријечца не пише заједно. Тако имамо </w:t>
            </w:r>
            <w:r w:rsidRPr="00284048">
              <w:rPr>
                <w:i/>
                <w:sz w:val="20"/>
                <w:szCs w:val="20"/>
                <w:lang w:val="sr-Cyrl-BA"/>
              </w:rPr>
              <w:t>неписан, непоједен, неношен;</w:t>
            </w:r>
          </w:p>
          <w:p w:rsidR="00284048" w:rsidRPr="00284048" w:rsidRDefault="00284048" w:rsidP="00960B58">
            <w:pPr>
              <w:rPr>
                <w:i/>
                <w:sz w:val="20"/>
                <w:szCs w:val="20"/>
                <w:lang w:val="sr-Cyrl-BA"/>
              </w:rPr>
            </w:pPr>
            <w:r>
              <w:rPr>
                <w:sz w:val="20"/>
                <w:szCs w:val="20"/>
                <w:lang w:val="sr-Cyrl-BA"/>
              </w:rPr>
              <w:t xml:space="preserve">Пр. </w:t>
            </w:r>
            <w:r w:rsidRPr="00284048">
              <w:rPr>
                <w:i/>
                <w:sz w:val="20"/>
                <w:szCs w:val="20"/>
                <w:lang w:val="sr-Cyrl-BA"/>
              </w:rPr>
              <w:t xml:space="preserve">Ово је </w:t>
            </w:r>
            <w:r w:rsidRPr="00284048">
              <w:rPr>
                <w:i/>
                <w:sz w:val="20"/>
                <w:szCs w:val="20"/>
                <w:u w:val="single"/>
                <w:lang w:val="sr-Cyrl-BA"/>
              </w:rPr>
              <w:t>неписано</w:t>
            </w:r>
            <w:r w:rsidRPr="00284048">
              <w:rPr>
                <w:i/>
                <w:sz w:val="20"/>
                <w:szCs w:val="20"/>
                <w:lang w:val="sr-Cyrl-BA"/>
              </w:rPr>
              <w:t xml:space="preserve"> правило. </w:t>
            </w:r>
          </w:p>
          <w:p w:rsidR="00284048" w:rsidRPr="00284048" w:rsidRDefault="00284048" w:rsidP="00960B58">
            <w:pPr>
              <w:rPr>
                <w:i/>
                <w:sz w:val="20"/>
                <w:szCs w:val="20"/>
                <w:lang w:val="sr-Cyrl-BA"/>
              </w:rPr>
            </w:pPr>
            <w:r w:rsidRPr="00284048">
              <w:rPr>
                <w:i/>
                <w:sz w:val="20"/>
                <w:szCs w:val="20"/>
                <w:lang w:val="sr-Cyrl-BA"/>
              </w:rPr>
              <w:t xml:space="preserve">        </w:t>
            </w:r>
            <w:r w:rsidRPr="00284048">
              <w:rPr>
                <w:i/>
                <w:sz w:val="20"/>
                <w:szCs w:val="20"/>
                <w:u w:val="single"/>
                <w:lang w:val="sr-Cyrl-BA"/>
              </w:rPr>
              <w:t>Непоједен</w:t>
            </w:r>
            <w:r w:rsidRPr="00284048">
              <w:rPr>
                <w:i/>
                <w:sz w:val="20"/>
                <w:szCs w:val="20"/>
                <w:lang w:val="sr-Cyrl-BA"/>
              </w:rPr>
              <w:t xml:space="preserve"> ручак нећу да бацам. </w:t>
            </w:r>
          </w:p>
          <w:p w:rsidR="00284048" w:rsidRDefault="00284048" w:rsidP="00960B58">
            <w:pPr>
              <w:rPr>
                <w:i/>
                <w:sz w:val="20"/>
                <w:szCs w:val="20"/>
                <w:lang w:val="sr-Cyrl-BA"/>
              </w:rPr>
            </w:pPr>
            <w:r w:rsidRPr="00284048">
              <w:rPr>
                <w:i/>
                <w:sz w:val="20"/>
                <w:szCs w:val="20"/>
                <w:lang w:val="sr-Cyrl-BA"/>
              </w:rPr>
              <w:t xml:space="preserve">        </w:t>
            </w:r>
            <w:r w:rsidRPr="00284048">
              <w:rPr>
                <w:i/>
                <w:sz w:val="20"/>
                <w:szCs w:val="20"/>
                <w:u w:val="single"/>
                <w:lang w:val="sr-Cyrl-BA"/>
              </w:rPr>
              <w:t>Неношене</w:t>
            </w:r>
            <w:r w:rsidRPr="00284048">
              <w:rPr>
                <w:i/>
                <w:sz w:val="20"/>
                <w:szCs w:val="20"/>
                <w:lang w:val="sr-Cyrl-BA"/>
              </w:rPr>
              <w:t xml:space="preserve"> мајице баци. </w:t>
            </w:r>
          </w:p>
          <w:p w:rsidR="00284048" w:rsidRDefault="00284048" w:rsidP="00960B58">
            <w:pPr>
              <w:rPr>
                <w:sz w:val="20"/>
                <w:szCs w:val="20"/>
                <w:lang w:val="sr-Cyrl-BA"/>
              </w:rPr>
            </w:pPr>
            <w:r w:rsidRPr="00284048">
              <w:rPr>
                <w:b/>
                <w:sz w:val="20"/>
                <w:szCs w:val="20"/>
                <w:lang w:val="sr-Cyrl-BA"/>
              </w:rPr>
              <w:t>Глаголски придјев радни</w:t>
            </w:r>
            <w:r>
              <w:rPr>
                <w:b/>
                <w:sz w:val="20"/>
                <w:szCs w:val="20"/>
                <w:lang w:val="sr-Cyrl-BA"/>
              </w:rPr>
              <w:t xml:space="preserve"> – </w:t>
            </w:r>
            <w:r>
              <w:rPr>
                <w:sz w:val="20"/>
                <w:szCs w:val="20"/>
                <w:lang w:val="sr-Cyrl-BA"/>
              </w:rPr>
              <w:t>учио, учила, учило, учили, училе, учила; читао, -ла, -ло, - ли, - ле, - ла;</w:t>
            </w:r>
          </w:p>
          <w:p w:rsidR="009E5073" w:rsidRPr="009E5073" w:rsidRDefault="009E5073" w:rsidP="00960B58">
            <w:pPr>
              <w:rPr>
                <w:i/>
                <w:sz w:val="20"/>
                <w:szCs w:val="20"/>
                <w:lang w:val="sr-Cyrl-BA"/>
              </w:rPr>
            </w:pPr>
            <w:r>
              <w:rPr>
                <w:sz w:val="20"/>
                <w:szCs w:val="20"/>
                <w:lang w:val="sr-Cyrl-BA"/>
              </w:rPr>
              <w:t xml:space="preserve">Пр. </w:t>
            </w:r>
            <w:r w:rsidRPr="009E5073">
              <w:rPr>
                <w:i/>
                <w:sz w:val="20"/>
                <w:szCs w:val="20"/>
                <w:lang w:val="sr-Cyrl-BA"/>
              </w:rPr>
              <w:t xml:space="preserve">Успио не успио, исто ти је. </w:t>
            </w:r>
          </w:p>
          <w:p w:rsidR="009E5073" w:rsidRPr="009E5073" w:rsidRDefault="009E5073" w:rsidP="00960B58">
            <w:pPr>
              <w:rPr>
                <w:i/>
                <w:sz w:val="20"/>
                <w:szCs w:val="20"/>
                <w:lang w:val="sr-Cyrl-BA"/>
              </w:rPr>
            </w:pPr>
            <w:r w:rsidRPr="009E5073">
              <w:rPr>
                <w:i/>
                <w:sz w:val="20"/>
                <w:szCs w:val="20"/>
                <w:lang w:val="sr-Cyrl-BA"/>
              </w:rPr>
              <w:t xml:space="preserve">        Доспјели не доспјели, нама је платити. </w:t>
            </w:r>
          </w:p>
          <w:p w:rsidR="00284048" w:rsidRPr="00284048" w:rsidRDefault="00284048" w:rsidP="00960B58">
            <w:pPr>
              <w:rPr>
                <w:i/>
                <w:sz w:val="20"/>
                <w:szCs w:val="20"/>
                <w:lang w:val="sr-Cyrl-BA"/>
              </w:rPr>
            </w:pPr>
            <w:r>
              <w:rPr>
                <w:sz w:val="20"/>
                <w:szCs w:val="20"/>
                <w:lang w:val="sr-Cyrl-BA"/>
              </w:rPr>
              <w:t xml:space="preserve">Али неуспио (покушај); </w:t>
            </w:r>
            <w:r w:rsidR="009E5073">
              <w:rPr>
                <w:sz w:val="20"/>
                <w:szCs w:val="20"/>
                <w:lang w:val="sr-Cyrl-BA"/>
              </w:rPr>
              <w:t xml:space="preserve">неуспјела (сједница); доспио (рачун); Овдје се ради о придјевима, као што видите, стоји уз именицу. </w:t>
            </w:r>
          </w:p>
          <w:p w:rsidR="009E5073" w:rsidRDefault="009E5073" w:rsidP="00960B58">
            <w:pPr>
              <w:rPr>
                <w:sz w:val="20"/>
                <w:szCs w:val="20"/>
                <w:lang w:val="sr-Cyrl-BA"/>
              </w:rPr>
            </w:pPr>
          </w:p>
          <w:p w:rsidR="00960B58" w:rsidRDefault="00960B58" w:rsidP="00960B58">
            <w:pPr>
              <w:rPr>
                <w:sz w:val="20"/>
                <w:szCs w:val="20"/>
                <w:lang w:val="sr-Cyrl-BA"/>
              </w:rPr>
            </w:pPr>
            <w:r>
              <w:rPr>
                <w:sz w:val="20"/>
                <w:szCs w:val="20"/>
                <w:lang w:val="sr-Cyrl-BA"/>
              </w:rPr>
              <w:t>Супротно томе</w:t>
            </w:r>
            <w:r w:rsidR="003E666C">
              <w:rPr>
                <w:sz w:val="20"/>
                <w:szCs w:val="20"/>
                <w:lang w:val="sr-Cyrl-BA"/>
              </w:rPr>
              <w:t xml:space="preserve">, ријечца НЕ уз именице, придјеве и прилоге по правилу пише се спојено. </w:t>
            </w:r>
          </w:p>
          <w:p w:rsidR="003E666C" w:rsidRDefault="003E666C" w:rsidP="00960B58">
            <w:pPr>
              <w:rPr>
                <w:i/>
                <w:sz w:val="20"/>
                <w:szCs w:val="20"/>
                <w:lang w:val="sr-Cyrl-BA"/>
              </w:rPr>
            </w:pPr>
            <w:r>
              <w:rPr>
                <w:sz w:val="20"/>
                <w:szCs w:val="20"/>
                <w:lang w:val="sr-Cyrl-BA"/>
              </w:rPr>
              <w:t xml:space="preserve">Пр. </w:t>
            </w:r>
            <w:r>
              <w:rPr>
                <w:i/>
                <w:sz w:val="20"/>
                <w:szCs w:val="20"/>
                <w:lang w:val="sr-Cyrl-BA"/>
              </w:rPr>
              <w:t xml:space="preserve">Несрећа (именица), немаштина (именица), незнање (именица), невиност (именица), </w:t>
            </w:r>
            <w:r w:rsidR="00283A23">
              <w:rPr>
                <w:i/>
                <w:sz w:val="20"/>
                <w:szCs w:val="20"/>
                <w:lang w:val="sr-Cyrl-BA"/>
              </w:rPr>
              <w:t xml:space="preserve">нечовјек (именица), непознат (придјев), </w:t>
            </w:r>
            <w:r>
              <w:rPr>
                <w:i/>
                <w:sz w:val="20"/>
                <w:szCs w:val="20"/>
                <w:lang w:val="sr-Cyrl-BA"/>
              </w:rPr>
              <w:t xml:space="preserve">невин (придјев), немаран (придјев), немиран (придјев), непријатан (придјев), непријатно ( прилог), недовољно (прилог) итд. </w:t>
            </w:r>
          </w:p>
          <w:p w:rsidR="003E666C" w:rsidRPr="003E666C" w:rsidRDefault="003E666C" w:rsidP="00960B58">
            <w:pPr>
              <w:rPr>
                <w:sz w:val="20"/>
                <w:szCs w:val="20"/>
                <w:lang w:val="sr-Cyrl-BA"/>
              </w:rPr>
            </w:pPr>
            <w:r>
              <w:rPr>
                <w:sz w:val="20"/>
                <w:szCs w:val="20"/>
                <w:lang w:val="sr-Cyrl-BA"/>
              </w:rPr>
              <w:t xml:space="preserve">Разлог што почнемо и у овим случајевима писати ријечцу не одвојено лежи у несигурности. Незнање и несрећа су </w:t>
            </w:r>
            <w:r w:rsidRPr="003E666C">
              <w:rPr>
                <w:i/>
                <w:sz w:val="20"/>
                <w:szCs w:val="20"/>
                <w:lang w:val="sr-Cyrl-BA"/>
              </w:rPr>
              <w:t>антоними</w:t>
            </w:r>
            <w:r>
              <w:rPr>
                <w:sz w:val="20"/>
                <w:szCs w:val="20"/>
                <w:lang w:val="sr-Cyrl-BA"/>
              </w:rPr>
              <w:t xml:space="preserve"> (супротне ријечи) од именица знање и срећа. </w:t>
            </w:r>
          </w:p>
          <w:p w:rsidR="00960B58" w:rsidRPr="00960B58" w:rsidRDefault="00960B58" w:rsidP="00960B58">
            <w:pPr>
              <w:rPr>
                <w:sz w:val="20"/>
                <w:szCs w:val="20"/>
                <w:lang w:val="sr-Cyrl-BA"/>
              </w:rPr>
            </w:pPr>
          </w:p>
          <w:p w:rsidR="00912245" w:rsidRPr="002A0880" w:rsidRDefault="00912245" w:rsidP="00392BBF">
            <w:pPr>
              <w:jc w:val="center"/>
              <w:rPr>
                <w:b/>
                <w:sz w:val="20"/>
                <w:szCs w:val="20"/>
                <w:u w:val="single"/>
                <w:lang w:val="sr-Cyrl-BA"/>
              </w:rPr>
            </w:pPr>
            <w:r w:rsidRPr="002A0880">
              <w:rPr>
                <w:b/>
                <w:sz w:val="20"/>
                <w:szCs w:val="20"/>
                <w:u w:val="single"/>
                <w:lang w:val="sr-Cyrl-BA"/>
              </w:rPr>
              <w:t>ЗАВРШНИ ДИО ЧАСА:</w:t>
            </w:r>
          </w:p>
          <w:p w:rsidR="00A43DD1" w:rsidRPr="00960B58" w:rsidRDefault="00A43DD1" w:rsidP="00A43DD1">
            <w:pPr>
              <w:rPr>
                <w:sz w:val="20"/>
                <w:szCs w:val="20"/>
                <w:lang w:val="sr-Cyrl-BA"/>
              </w:rPr>
            </w:pPr>
            <w:r>
              <w:rPr>
                <w:sz w:val="20"/>
                <w:szCs w:val="20"/>
                <w:lang w:val="sr-Cyrl-BA"/>
              </w:rPr>
              <w:t xml:space="preserve">Крилатицу: Пиши као што говориш, не треба дословно тумачити. </w:t>
            </w:r>
          </w:p>
          <w:p w:rsidR="00667966" w:rsidRDefault="00667966" w:rsidP="006438A4">
            <w:pPr>
              <w:rPr>
                <w:sz w:val="20"/>
                <w:szCs w:val="20"/>
                <w:lang w:val="sr-Cyrl-BA"/>
              </w:rPr>
            </w:pPr>
          </w:p>
          <w:p w:rsidR="00C75DF2" w:rsidRDefault="009F0FAB" w:rsidP="00C75DF2">
            <w:pPr>
              <w:jc w:val="both"/>
              <w:rPr>
                <w:lang w:val="bs-Cyrl-BA"/>
              </w:rPr>
            </w:pPr>
            <w:r>
              <w:rPr>
                <w:lang w:val="bs-Cyrl-BA"/>
              </w:rPr>
              <w:t>Незнање је</w:t>
            </w:r>
            <w:r w:rsidR="00A43DD1">
              <w:rPr>
                <w:lang w:val="bs-Cyrl-BA"/>
              </w:rPr>
              <w:t xml:space="preserve"> незнати, а не</w:t>
            </w:r>
            <w:r>
              <w:rPr>
                <w:lang w:val="bs-Cyrl-BA"/>
              </w:rPr>
              <w:t xml:space="preserve"> не знати!</w:t>
            </w:r>
          </w:p>
          <w:p w:rsidR="00C75DF2" w:rsidRDefault="00283A23" w:rsidP="00C75DF2">
            <w:pPr>
              <w:jc w:val="both"/>
              <w:rPr>
                <w:lang w:val="bs-Cyrl-BA"/>
              </w:rPr>
            </w:pPr>
            <w:r>
              <w:rPr>
                <w:lang w:val="bs-Cyrl-BA"/>
              </w:rPr>
              <w:t>Дакле, НЕМОЈТЕ да вас видим да НЕ ЗНАТЕ да пишете ријечцу не и живите у НЕЗНАЊУ!</w:t>
            </w:r>
          </w:p>
          <w:p w:rsidR="00912245" w:rsidRPr="00C75DF2" w:rsidRDefault="00912245" w:rsidP="00C75DF2">
            <w:pPr>
              <w:rPr>
                <w:sz w:val="18"/>
                <w:szCs w:val="18"/>
                <w:lang w:val="sr-Cyrl-BA"/>
              </w:rPr>
            </w:pPr>
          </w:p>
          <w:p w:rsidR="00912245" w:rsidRDefault="00912245" w:rsidP="00125010">
            <w:pPr>
              <w:jc w:val="center"/>
              <w:rPr>
                <w:sz w:val="20"/>
                <w:szCs w:val="20"/>
                <w:lang w:val="sr-Cyrl-BA"/>
              </w:rPr>
            </w:pPr>
          </w:p>
          <w:p w:rsidR="00912245" w:rsidRDefault="00912245" w:rsidP="00125010">
            <w:pPr>
              <w:jc w:val="center"/>
              <w:rPr>
                <w:sz w:val="20"/>
                <w:szCs w:val="20"/>
                <w:lang w:val="sr-Cyrl-BA"/>
              </w:rPr>
            </w:pPr>
          </w:p>
          <w:p w:rsidR="00912245" w:rsidRDefault="00912245" w:rsidP="00862C48">
            <w:pPr>
              <w:rPr>
                <w:sz w:val="20"/>
                <w:szCs w:val="20"/>
                <w:lang w:val="sr-Cyrl-BA"/>
              </w:rPr>
            </w:pPr>
          </w:p>
          <w:p w:rsidR="00912245" w:rsidRDefault="00912245" w:rsidP="00125010">
            <w:pPr>
              <w:jc w:val="center"/>
              <w:rPr>
                <w:sz w:val="20"/>
                <w:szCs w:val="20"/>
                <w:lang w:val="sr-Cyrl-BA"/>
              </w:rPr>
            </w:pPr>
          </w:p>
          <w:p w:rsidR="00912245" w:rsidRDefault="00912245" w:rsidP="00125010">
            <w:pPr>
              <w:jc w:val="center"/>
              <w:rPr>
                <w:sz w:val="20"/>
                <w:szCs w:val="20"/>
                <w:lang w:val="sr-Cyrl-BA"/>
              </w:rPr>
            </w:pPr>
          </w:p>
          <w:p w:rsidR="00912245" w:rsidRPr="008B398E" w:rsidRDefault="00912245" w:rsidP="00125010">
            <w:pPr>
              <w:jc w:val="center"/>
              <w:rPr>
                <w:sz w:val="20"/>
                <w:szCs w:val="20"/>
                <w:lang w:val="sr-Cyrl-BA"/>
              </w:rPr>
            </w:pPr>
          </w:p>
        </w:tc>
      </w:tr>
      <w:tr w:rsidR="00912245" w:rsidTr="009E5073">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Borders>
              <w:top w:val="single" w:sz="4" w:space="0" w:color="auto"/>
            </w:tcBorders>
          </w:tcPr>
          <w:p w:rsidR="00667966" w:rsidRPr="009E78C9" w:rsidRDefault="00C75DF2" w:rsidP="00C75DF2">
            <w:pPr>
              <w:pStyle w:val="ListParagraph"/>
              <w:rPr>
                <w:sz w:val="24"/>
                <w:szCs w:val="24"/>
                <w:lang w:val="sr-Cyrl-BA"/>
              </w:rPr>
            </w:pPr>
            <w:r>
              <w:rPr>
                <w:lang w:val="bs-Cyrl-BA"/>
              </w:rPr>
              <w:t xml:space="preserve"> </w:t>
            </w:r>
          </w:p>
        </w:tc>
      </w:tr>
      <w:tr w:rsidR="00912245" w:rsidTr="00E4138D">
        <w:tc>
          <w:tcPr>
            <w:tcW w:w="3119" w:type="dxa"/>
          </w:tcPr>
          <w:p w:rsidR="00912245" w:rsidRDefault="00912245" w:rsidP="00125010">
            <w:pPr>
              <w:rPr>
                <w:sz w:val="24"/>
                <w:szCs w:val="24"/>
                <w:lang w:val="sr-Cyrl-BA"/>
              </w:rPr>
            </w:pPr>
            <w:r>
              <w:rPr>
                <w:sz w:val="24"/>
                <w:szCs w:val="24"/>
                <w:lang w:val="sr-Cyrl-BA"/>
              </w:rPr>
              <w:lastRenderedPageBreak/>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8"/>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C33" w:rsidRDefault="00A13C33" w:rsidP="00A7558F">
      <w:pPr>
        <w:spacing w:after="0" w:line="240" w:lineRule="auto"/>
      </w:pPr>
      <w:r>
        <w:separator/>
      </w:r>
    </w:p>
  </w:endnote>
  <w:endnote w:type="continuationSeparator" w:id="1">
    <w:p w:rsidR="00A13C33" w:rsidRDefault="00A13C33"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C33" w:rsidRDefault="00A13C33" w:rsidP="00A7558F">
      <w:pPr>
        <w:spacing w:after="0" w:line="240" w:lineRule="auto"/>
      </w:pPr>
      <w:r>
        <w:separator/>
      </w:r>
    </w:p>
  </w:footnote>
  <w:footnote w:type="continuationSeparator" w:id="1">
    <w:p w:rsidR="00A13C33" w:rsidRDefault="00A13C33"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FC3B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0C1FF7"/>
    <w:rsid w:val="000C1FF7"/>
    <w:rsid w:val="001644BA"/>
    <w:rsid w:val="001948D9"/>
    <w:rsid w:val="001A6969"/>
    <w:rsid w:val="002027E4"/>
    <w:rsid w:val="00283A23"/>
    <w:rsid w:val="00284048"/>
    <w:rsid w:val="0029412D"/>
    <w:rsid w:val="002A0880"/>
    <w:rsid w:val="002C0249"/>
    <w:rsid w:val="002F50DC"/>
    <w:rsid w:val="00304A9A"/>
    <w:rsid w:val="00313287"/>
    <w:rsid w:val="00324093"/>
    <w:rsid w:val="0038613E"/>
    <w:rsid w:val="00392BBF"/>
    <w:rsid w:val="003E666C"/>
    <w:rsid w:val="00450E00"/>
    <w:rsid w:val="0045758E"/>
    <w:rsid w:val="00483F5C"/>
    <w:rsid w:val="004D28F0"/>
    <w:rsid w:val="004E4365"/>
    <w:rsid w:val="0051121E"/>
    <w:rsid w:val="005322ED"/>
    <w:rsid w:val="0057262D"/>
    <w:rsid w:val="005B597B"/>
    <w:rsid w:val="006438A4"/>
    <w:rsid w:val="00667966"/>
    <w:rsid w:val="00673648"/>
    <w:rsid w:val="007876D1"/>
    <w:rsid w:val="0079567A"/>
    <w:rsid w:val="00862C48"/>
    <w:rsid w:val="00881E4A"/>
    <w:rsid w:val="00897C08"/>
    <w:rsid w:val="008B5D5D"/>
    <w:rsid w:val="008C0AF6"/>
    <w:rsid w:val="008F22FA"/>
    <w:rsid w:val="009109BF"/>
    <w:rsid w:val="00912245"/>
    <w:rsid w:val="00947622"/>
    <w:rsid w:val="00960B58"/>
    <w:rsid w:val="00965E2A"/>
    <w:rsid w:val="009E5073"/>
    <w:rsid w:val="009E78C9"/>
    <w:rsid w:val="009F0FAB"/>
    <w:rsid w:val="00A03941"/>
    <w:rsid w:val="00A13C33"/>
    <w:rsid w:val="00A43DD1"/>
    <w:rsid w:val="00A7558F"/>
    <w:rsid w:val="00B1077A"/>
    <w:rsid w:val="00B34656"/>
    <w:rsid w:val="00B62D60"/>
    <w:rsid w:val="00B67723"/>
    <w:rsid w:val="00B848E2"/>
    <w:rsid w:val="00B8628B"/>
    <w:rsid w:val="00BD3074"/>
    <w:rsid w:val="00BE1416"/>
    <w:rsid w:val="00C20EB3"/>
    <w:rsid w:val="00C3171D"/>
    <w:rsid w:val="00C75325"/>
    <w:rsid w:val="00C75DF2"/>
    <w:rsid w:val="00C76742"/>
    <w:rsid w:val="00C8589A"/>
    <w:rsid w:val="00CD1591"/>
    <w:rsid w:val="00CD561E"/>
    <w:rsid w:val="00D93811"/>
    <w:rsid w:val="00E072FC"/>
    <w:rsid w:val="00E4138D"/>
    <w:rsid w:val="00E60970"/>
    <w:rsid w:val="00E90A55"/>
    <w:rsid w:val="00EA4A1E"/>
    <w:rsid w:val="00EB0FD1"/>
    <w:rsid w:val="00FA158B"/>
    <w:rsid w:val="00FC3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2021-05-19T09:44:00Z</dcterms:created>
  <dcterms:modified xsi:type="dcterms:W3CDTF">2021-05-19T09:44:00Z</dcterms:modified>
</cp:coreProperties>
</file>